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F41F5" w14:textId="77777777" w:rsidR="00F10E80" w:rsidRPr="001A743B" w:rsidRDefault="00F10E80" w:rsidP="001D479D">
      <w:pPr>
        <w:pStyle w:val="Default"/>
        <w:spacing w:line="276" w:lineRule="auto"/>
        <w:jc w:val="center"/>
        <w:rPr>
          <w:b/>
          <w:bCs/>
          <w:sz w:val="20"/>
          <w:szCs w:val="20"/>
        </w:rPr>
      </w:pPr>
    </w:p>
    <w:p w14:paraId="3E96ACD4" w14:textId="195CF6A8" w:rsidR="00BD4642" w:rsidRPr="001A743B" w:rsidRDefault="00BD4642" w:rsidP="001D479D">
      <w:pPr>
        <w:pStyle w:val="Default"/>
        <w:spacing w:line="276" w:lineRule="auto"/>
        <w:jc w:val="center"/>
        <w:rPr>
          <w:sz w:val="21"/>
          <w:szCs w:val="21"/>
        </w:rPr>
      </w:pPr>
      <w:r w:rsidRPr="001A743B">
        <w:rPr>
          <w:b/>
          <w:bCs/>
          <w:sz w:val="21"/>
          <w:szCs w:val="21"/>
        </w:rPr>
        <w:t>POPULATION HEALTH INITIATIVE (PHI) PILOT AWARD APPLICATIONS</w:t>
      </w:r>
    </w:p>
    <w:p w14:paraId="357111DD" w14:textId="0FBD8540" w:rsidR="00BD4642" w:rsidRPr="001A743B" w:rsidRDefault="00BD4642" w:rsidP="001D479D">
      <w:pPr>
        <w:pStyle w:val="Default"/>
        <w:spacing w:line="276" w:lineRule="auto"/>
        <w:jc w:val="center"/>
        <w:rPr>
          <w:sz w:val="21"/>
          <w:szCs w:val="21"/>
        </w:rPr>
      </w:pPr>
      <w:r w:rsidRPr="001A743B">
        <w:rPr>
          <w:b/>
          <w:bCs/>
          <w:sz w:val="21"/>
          <w:szCs w:val="21"/>
        </w:rPr>
        <w:t>MATCHING FUNDS REQUESTS</w:t>
      </w:r>
    </w:p>
    <w:p w14:paraId="460A58EC" w14:textId="74ADA756" w:rsidR="003716EA" w:rsidRPr="001A743B" w:rsidRDefault="00BD4642" w:rsidP="001D479D">
      <w:pPr>
        <w:spacing w:line="276" w:lineRule="auto"/>
        <w:jc w:val="center"/>
        <w:rPr>
          <w:rFonts w:ascii="Arial" w:hAnsi="Arial" w:cs="Arial"/>
          <w:b/>
          <w:bCs/>
          <w:sz w:val="21"/>
          <w:szCs w:val="21"/>
        </w:rPr>
      </w:pPr>
      <w:r w:rsidRPr="001A743B">
        <w:rPr>
          <w:rFonts w:ascii="Arial" w:hAnsi="Arial" w:cs="Arial"/>
          <w:b/>
          <w:bCs/>
          <w:sz w:val="21"/>
          <w:szCs w:val="21"/>
        </w:rPr>
        <w:t>2023</w:t>
      </w:r>
    </w:p>
    <w:p w14:paraId="50C00588" w14:textId="71A117A2" w:rsidR="00BD4642" w:rsidRPr="001A743B" w:rsidRDefault="00BD4642" w:rsidP="001D479D">
      <w:pPr>
        <w:spacing w:line="276" w:lineRule="auto"/>
        <w:jc w:val="center"/>
        <w:rPr>
          <w:rFonts w:ascii="Arial" w:hAnsi="Arial" w:cs="Arial"/>
          <w:b/>
          <w:bCs/>
          <w:sz w:val="20"/>
          <w:szCs w:val="20"/>
        </w:rPr>
      </w:pPr>
    </w:p>
    <w:p w14:paraId="2B7EC8BA" w14:textId="2412C5D4" w:rsidR="00D01888" w:rsidRPr="001A743B" w:rsidRDefault="00BD4642" w:rsidP="00544A89">
      <w:pPr>
        <w:pStyle w:val="Default"/>
        <w:spacing w:line="276" w:lineRule="auto"/>
        <w:rPr>
          <w:sz w:val="20"/>
          <w:szCs w:val="20"/>
          <w:u w:val="single"/>
        </w:rPr>
      </w:pPr>
      <w:r w:rsidRPr="001A743B">
        <w:rPr>
          <w:sz w:val="20"/>
          <w:szCs w:val="20"/>
          <w:u w:val="single"/>
        </w:rPr>
        <w:t>Overview:</w:t>
      </w:r>
    </w:p>
    <w:p w14:paraId="16E191A1" w14:textId="4A274F29" w:rsidR="00BD4642" w:rsidRPr="001A743B" w:rsidRDefault="00BD4642" w:rsidP="00544A89">
      <w:pPr>
        <w:pStyle w:val="Default"/>
        <w:spacing w:line="276" w:lineRule="auto"/>
        <w:rPr>
          <w:sz w:val="20"/>
          <w:szCs w:val="20"/>
        </w:rPr>
      </w:pPr>
      <w:r w:rsidRPr="001A743B">
        <w:rPr>
          <w:sz w:val="20"/>
          <w:szCs w:val="20"/>
        </w:rPr>
        <w:t>The School of Public Health (SPH) is committed to supporting population health research and the Population Health Initiative (PHI) efforts to stimulate this research. Therefore, we are prepared to commit matching funds for the PHI Pilot awards</w:t>
      </w:r>
      <w:r w:rsidR="00D01888">
        <w:rPr>
          <w:sz w:val="20"/>
          <w:szCs w:val="20"/>
        </w:rPr>
        <w:t>, subject to policies outlined in this document and addendum</w:t>
      </w:r>
      <w:r w:rsidRPr="001A743B">
        <w:rPr>
          <w:sz w:val="20"/>
          <w:szCs w:val="20"/>
        </w:rPr>
        <w:t xml:space="preserve">. Departments may commit additional matching funds. The level of support provided will vary based on the role of the SPH faculty member in the project. </w:t>
      </w:r>
    </w:p>
    <w:p w14:paraId="6B957ED3" w14:textId="77777777" w:rsidR="00BD4642" w:rsidRPr="001A743B" w:rsidRDefault="00BD4642" w:rsidP="00544A89">
      <w:pPr>
        <w:spacing w:line="276" w:lineRule="auto"/>
        <w:rPr>
          <w:rFonts w:ascii="Arial" w:hAnsi="Arial" w:cs="Arial"/>
          <w:sz w:val="20"/>
          <w:szCs w:val="20"/>
        </w:rPr>
      </w:pPr>
    </w:p>
    <w:p w14:paraId="60AF32F0" w14:textId="4264F972" w:rsidR="00BD4642" w:rsidRDefault="00BD4642" w:rsidP="007F611E">
      <w:pPr>
        <w:spacing w:line="276" w:lineRule="auto"/>
        <w:rPr>
          <w:rFonts w:ascii="Arial" w:hAnsi="Arial" w:cs="Arial"/>
          <w:sz w:val="20"/>
          <w:szCs w:val="20"/>
        </w:rPr>
      </w:pPr>
      <w:r w:rsidRPr="001A743B">
        <w:rPr>
          <w:rFonts w:ascii="Arial" w:hAnsi="Arial" w:cs="Arial"/>
          <w:sz w:val="20"/>
          <w:szCs w:val="20"/>
        </w:rPr>
        <w:t xml:space="preserve">Beginning in Winter 2023, the PHI has adopted a tiered approach for the next two years of the program, described in detail </w:t>
      </w:r>
      <w:hyperlink r:id="rId7" w:history="1">
        <w:r w:rsidRPr="001A743B">
          <w:rPr>
            <w:rStyle w:val="Hyperlink"/>
            <w:rFonts w:ascii="Arial" w:hAnsi="Arial" w:cs="Arial"/>
            <w:sz w:val="20"/>
            <w:szCs w:val="20"/>
          </w:rPr>
          <w:t>here</w:t>
        </w:r>
      </w:hyperlink>
      <w:r w:rsidRPr="001A743B">
        <w:rPr>
          <w:rFonts w:ascii="Arial" w:hAnsi="Arial" w:cs="Arial"/>
          <w:sz w:val="20"/>
          <w:szCs w:val="20"/>
        </w:rPr>
        <w:t xml:space="preserve"> and summarized below.</w:t>
      </w:r>
    </w:p>
    <w:p w14:paraId="36C25BB6" w14:textId="77777777" w:rsidR="007F611E" w:rsidRPr="007F611E" w:rsidRDefault="007F611E" w:rsidP="007F611E">
      <w:pPr>
        <w:spacing w:line="276" w:lineRule="auto"/>
        <w:rPr>
          <w:rFonts w:ascii="Arial" w:hAnsi="Arial" w:cs="Arial"/>
          <w:sz w:val="20"/>
          <w:szCs w:val="20"/>
        </w:rPr>
      </w:pPr>
    </w:p>
    <w:p w14:paraId="6BC017E7" w14:textId="77777777" w:rsidR="00544A89" w:rsidRPr="001A743B" w:rsidRDefault="00BD4642" w:rsidP="00544A89">
      <w:pPr>
        <w:pStyle w:val="Default"/>
        <w:numPr>
          <w:ilvl w:val="0"/>
          <w:numId w:val="2"/>
        </w:numPr>
        <w:spacing w:after="190"/>
        <w:rPr>
          <w:sz w:val="20"/>
          <w:szCs w:val="20"/>
        </w:rPr>
      </w:pPr>
      <w:r w:rsidRPr="001A743B">
        <w:rPr>
          <w:sz w:val="20"/>
          <w:szCs w:val="20"/>
        </w:rPr>
        <w:t xml:space="preserve">Tier 1: Up to $25,000 per project with a project period of up to eight months. Available Winter, Spring, &amp; Autumn through 2023. </w:t>
      </w:r>
    </w:p>
    <w:p w14:paraId="2344F6B2" w14:textId="10782214" w:rsidR="00BD4642" w:rsidRPr="001A743B" w:rsidRDefault="00BD4642" w:rsidP="00544A89">
      <w:pPr>
        <w:pStyle w:val="Default"/>
        <w:numPr>
          <w:ilvl w:val="0"/>
          <w:numId w:val="2"/>
        </w:numPr>
        <w:spacing w:after="190"/>
        <w:rPr>
          <w:sz w:val="20"/>
          <w:szCs w:val="20"/>
        </w:rPr>
      </w:pPr>
      <w:r w:rsidRPr="001A743B">
        <w:rPr>
          <w:sz w:val="20"/>
          <w:szCs w:val="20"/>
        </w:rPr>
        <w:t xml:space="preserve">Tier 2: Up to $50,000 per project with a project period of up to 12 months. Up to $65,000 for projects including community-based organizations. Available Winter &amp; Autumn through 2023. </w:t>
      </w:r>
    </w:p>
    <w:p w14:paraId="0FCED665" w14:textId="33F0EDA7" w:rsidR="001A743B" w:rsidRPr="001A743B" w:rsidRDefault="00BD4642" w:rsidP="001A743B">
      <w:pPr>
        <w:pStyle w:val="Default"/>
        <w:numPr>
          <w:ilvl w:val="0"/>
          <w:numId w:val="2"/>
        </w:numPr>
        <w:spacing w:after="190"/>
        <w:rPr>
          <w:sz w:val="20"/>
          <w:szCs w:val="20"/>
        </w:rPr>
      </w:pPr>
      <w:r w:rsidRPr="001A743B">
        <w:rPr>
          <w:sz w:val="20"/>
          <w:szCs w:val="20"/>
        </w:rPr>
        <w:t xml:space="preserve">Tier 3: Up to $150,000 per project with a project period of up to 18 months. Up to $200,000 for projects including community-based organizations. Available Spring 2022 and Spring 2023. </w:t>
      </w:r>
    </w:p>
    <w:p w14:paraId="15F5DD3D" w14:textId="59453207" w:rsidR="00544A89" w:rsidRDefault="00BD4642" w:rsidP="00544A89">
      <w:pPr>
        <w:pStyle w:val="Default"/>
        <w:spacing w:line="276" w:lineRule="auto"/>
        <w:rPr>
          <w:sz w:val="20"/>
          <w:szCs w:val="20"/>
          <w:u w:val="single"/>
        </w:rPr>
      </w:pPr>
      <w:r w:rsidRPr="001A743B">
        <w:rPr>
          <w:sz w:val="20"/>
          <w:szCs w:val="20"/>
          <w:u w:val="single"/>
        </w:rPr>
        <w:t xml:space="preserve">Matching amount (irrespective of Tier): </w:t>
      </w:r>
    </w:p>
    <w:p w14:paraId="4E9D195F" w14:textId="77777777" w:rsidR="007F611E" w:rsidRPr="001A743B" w:rsidRDefault="007F611E" w:rsidP="00544A89">
      <w:pPr>
        <w:pStyle w:val="Default"/>
        <w:spacing w:line="276" w:lineRule="auto"/>
        <w:rPr>
          <w:sz w:val="20"/>
          <w:szCs w:val="20"/>
          <w:u w:val="single"/>
        </w:rPr>
      </w:pPr>
    </w:p>
    <w:p w14:paraId="644CA950" w14:textId="77777777" w:rsidR="00544A89" w:rsidRPr="001A743B" w:rsidRDefault="00BD4642" w:rsidP="00544A89">
      <w:pPr>
        <w:pStyle w:val="Default"/>
        <w:numPr>
          <w:ilvl w:val="0"/>
          <w:numId w:val="6"/>
        </w:numPr>
        <w:spacing w:after="240"/>
        <w:rPr>
          <w:sz w:val="20"/>
          <w:szCs w:val="20"/>
          <w:u w:val="single"/>
        </w:rPr>
      </w:pPr>
      <w:r w:rsidRPr="001A743B">
        <w:rPr>
          <w:sz w:val="20"/>
          <w:szCs w:val="20"/>
        </w:rPr>
        <w:t>$15,000 if SPH faculty member is the PI and award is administered within the SPH</w:t>
      </w:r>
    </w:p>
    <w:p w14:paraId="16F30686" w14:textId="77777777" w:rsidR="00544A89" w:rsidRPr="001A743B" w:rsidRDefault="00BD4642" w:rsidP="00544A89">
      <w:pPr>
        <w:pStyle w:val="Default"/>
        <w:numPr>
          <w:ilvl w:val="0"/>
          <w:numId w:val="6"/>
        </w:numPr>
        <w:spacing w:after="240"/>
        <w:rPr>
          <w:sz w:val="20"/>
          <w:szCs w:val="20"/>
          <w:u w:val="single"/>
        </w:rPr>
      </w:pPr>
      <w:r w:rsidRPr="001A743B">
        <w:rPr>
          <w:sz w:val="20"/>
          <w:szCs w:val="20"/>
        </w:rPr>
        <w:t>$5,000 if SPH faculty member is a collaborator and award is administered outside the SPH.</w:t>
      </w:r>
    </w:p>
    <w:p w14:paraId="639F61C3" w14:textId="77777777" w:rsidR="00544A89" w:rsidRPr="001A743B" w:rsidRDefault="00BD4642" w:rsidP="00544A89">
      <w:pPr>
        <w:pStyle w:val="Default"/>
        <w:numPr>
          <w:ilvl w:val="0"/>
          <w:numId w:val="6"/>
        </w:numPr>
        <w:spacing w:after="240"/>
        <w:rPr>
          <w:sz w:val="20"/>
          <w:szCs w:val="20"/>
          <w:u w:val="single"/>
        </w:rPr>
      </w:pPr>
      <w:r w:rsidRPr="001A743B">
        <w:rPr>
          <w:sz w:val="20"/>
          <w:szCs w:val="20"/>
        </w:rPr>
        <w:t>No matching funds are available for awards &gt;$65,000.</w:t>
      </w:r>
    </w:p>
    <w:p w14:paraId="3DAC484B" w14:textId="77777777" w:rsidR="00544A89" w:rsidRPr="001A743B" w:rsidRDefault="00BD4642" w:rsidP="00544A89">
      <w:pPr>
        <w:pStyle w:val="Default"/>
        <w:numPr>
          <w:ilvl w:val="0"/>
          <w:numId w:val="6"/>
        </w:numPr>
        <w:spacing w:after="240"/>
        <w:rPr>
          <w:sz w:val="20"/>
          <w:szCs w:val="20"/>
          <w:u w:val="single"/>
        </w:rPr>
      </w:pPr>
      <w:r w:rsidRPr="001A743B">
        <w:rPr>
          <w:sz w:val="20"/>
          <w:szCs w:val="20"/>
        </w:rPr>
        <w:t>No matching funds are allowed for PI’s or Co-investigators who have received any PHI matching funds from the School within the 3 years preceding the PHI application due date. Matching funds from departments and other sources do not apply to this restriction.</w:t>
      </w:r>
    </w:p>
    <w:p w14:paraId="4B58D85E" w14:textId="19E8E5F8" w:rsidR="00BD4642" w:rsidRPr="001A743B" w:rsidRDefault="00BD4642" w:rsidP="00544A89">
      <w:pPr>
        <w:pStyle w:val="Default"/>
        <w:numPr>
          <w:ilvl w:val="0"/>
          <w:numId w:val="6"/>
        </w:numPr>
        <w:spacing w:after="240"/>
        <w:rPr>
          <w:sz w:val="20"/>
          <w:szCs w:val="20"/>
          <w:u w:val="single"/>
        </w:rPr>
      </w:pPr>
      <w:r w:rsidRPr="001A743B">
        <w:rPr>
          <w:sz w:val="20"/>
          <w:szCs w:val="20"/>
        </w:rPr>
        <w:t xml:space="preserve">Additional matching funds may also be provided by your home department </w:t>
      </w:r>
    </w:p>
    <w:p w14:paraId="0F5723ED" w14:textId="1CD94DD9" w:rsidR="00544A89" w:rsidRPr="001A743B" w:rsidRDefault="00BD4642" w:rsidP="00544A89">
      <w:pPr>
        <w:pStyle w:val="Default"/>
        <w:spacing w:before="240" w:line="276" w:lineRule="auto"/>
        <w:rPr>
          <w:sz w:val="20"/>
          <w:szCs w:val="20"/>
          <w:u w:val="single"/>
        </w:rPr>
      </w:pPr>
      <w:r w:rsidRPr="001A743B">
        <w:rPr>
          <w:sz w:val="20"/>
          <w:szCs w:val="20"/>
          <w:u w:val="single"/>
        </w:rPr>
        <w:t xml:space="preserve">Application deadlines: </w:t>
      </w:r>
      <w:hyperlink r:id="rId8" w:history="1">
        <w:r w:rsidRPr="001A743B">
          <w:rPr>
            <w:rStyle w:val="Hyperlink"/>
            <w:sz w:val="20"/>
            <w:szCs w:val="20"/>
          </w:rPr>
          <w:t>here</w:t>
        </w:r>
      </w:hyperlink>
    </w:p>
    <w:p w14:paraId="6DE2EBAF" w14:textId="35788A2B" w:rsidR="00544A89" w:rsidRPr="001A743B" w:rsidRDefault="001D479D" w:rsidP="00544A89">
      <w:pPr>
        <w:pStyle w:val="Default"/>
        <w:spacing w:before="240" w:after="240" w:line="276" w:lineRule="auto"/>
        <w:rPr>
          <w:sz w:val="20"/>
          <w:szCs w:val="20"/>
        </w:rPr>
      </w:pPr>
      <w:r w:rsidRPr="001A743B">
        <w:rPr>
          <w:sz w:val="20"/>
          <w:szCs w:val="20"/>
        </w:rPr>
        <w:t>Send your request for SPH matching funds to Jerry Cangelosi (gcang@uw.edu) including the following information:</w:t>
      </w:r>
    </w:p>
    <w:p w14:paraId="47E64312" w14:textId="5CF1B1E8" w:rsidR="001D479D" w:rsidRPr="001A743B" w:rsidRDefault="001D479D" w:rsidP="00544A89">
      <w:pPr>
        <w:spacing w:line="276" w:lineRule="auto"/>
        <w:rPr>
          <w:rFonts w:ascii="Arial" w:hAnsi="Arial" w:cs="Arial"/>
          <w:sz w:val="20"/>
          <w:szCs w:val="20"/>
        </w:rPr>
      </w:pPr>
      <w:r w:rsidRPr="001A743B">
        <w:rPr>
          <w:rFonts w:ascii="Arial" w:hAnsi="Arial" w:cs="Arial"/>
          <w:sz w:val="20"/>
          <w:szCs w:val="20"/>
        </w:rPr>
        <w:t xml:space="preserve">Project Name: </w:t>
      </w:r>
      <w:r w:rsidRPr="001A743B">
        <w:rPr>
          <w:rFonts w:ascii="Arial" w:hAnsi="Arial" w:cs="Arial"/>
          <w:sz w:val="20"/>
          <w:szCs w:val="20"/>
        </w:rPr>
        <w:tab/>
      </w:r>
      <w:r w:rsidRPr="001A743B">
        <w:rPr>
          <w:rFonts w:ascii="Arial" w:hAnsi="Arial" w:cs="Arial"/>
          <w:sz w:val="20"/>
          <w:szCs w:val="20"/>
        </w:rPr>
        <w:tab/>
      </w:r>
      <w:r w:rsidRPr="001A743B">
        <w:rPr>
          <w:rFonts w:ascii="Arial" w:hAnsi="Arial" w:cs="Arial"/>
          <w:sz w:val="20"/>
          <w:szCs w:val="20"/>
        </w:rPr>
        <w:tab/>
      </w:r>
      <w:r w:rsidRPr="001A743B">
        <w:rPr>
          <w:rFonts w:ascii="Arial" w:hAnsi="Arial" w:cs="Arial"/>
          <w:sz w:val="20"/>
          <w:szCs w:val="20"/>
        </w:rPr>
        <w:tab/>
        <w:t>&lt;Title&gt;</w:t>
      </w:r>
    </w:p>
    <w:p w14:paraId="2E94345E" w14:textId="6CA5EEE6" w:rsidR="001D479D" w:rsidRPr="001A743B" w:rsidRDefault="001D479D" w:rsidP="00544A89">
      <w:pPr>
        <w:spacing w:line="276" w:lineRule="auto"/>
        <w:rPr>
          <w:rFonts w:ascii="Arial" w:hAnsi="Arial" w:cs="Arial"/>
          <w:sz w:val="20"/>
          <w:szCs w:val="20"/>
        </w:rPr>
      </w:pPr>
      <w:r w:rsidRPr="001A743B">
        <w:rPr>
          <w:rFonts w:ascii="Arial" w:hAnsi="Arial" w:cs="Arial"/>
          <w:sz w:val="20"/>
          <w:szCs w:val="20"/>
        </w:rPr>
        <w:t xml:space="preserve">SPH Faculty Role: </w:t>
      </w:r>
      <w:r w:rsidRPr="001A743B">
        <w:rPr>
          <w:rFonts w:ascii="Arial" w:hAnsi="Arial" w:cs="Arial"/>
          <w:sz w:val="20"/>
          <w:szCs w:val="20"/>
        </w:rPr>
        <w:tab/>
      </w:r>
      <w:r w:rsidRPr="001A743B">
        <w:rPr>
          <w:rFonts w:ascii="Arial" w:hAnsi="Arial" w:cs="Arial"/>
          <w:sz w:val="20"/>
          <w:szCs w:val="20"/>
        </w:rPr>
        <w:tab/>
      </w:r>
      <w:r w:rsidRPr="001A743B">
        <w:rPr>
          <w:rFonts w:ascii="Arial" w:hAnsi="Arial" w:cs="Arial"/>
          <w:sz w:val="20"/>
          <w:szCs w:val="20"/>
        </w:rPr>
        <w:tab/>
        <w:t>PI or Co-I</w:t>
      </w:r>
      <w:r w:rsidRPr="001A743B">
        <w:rPr>
          <w:rFonts w:ascii="Arial" w:hAnsi="Arial" w:cs="Arial"/>
          <w:sz w:val="20"/>
          <w:szCs w:val="20"/>
        </w:rPr>
        <w:tab/>
      </w:r>
    </w:p>
    <w:p w14:paraId="3C6180A5" w14:textId="7378641F" w:rsidR="001D479D" w:rsidRPr="001A743B" w:rsidRDefault="001D479D" w:rsidP="00544A89">
      <w:pPr>
        <w:spacing w:line="276" w:lineRule="auto"/>
        <w:rPr>
          <w:rFonts w:ascii="Arial" w:hAnsi="Arial" w:cs="Arial"/>
          <w:sz w:val="20"/>
          <w:szCs w:val="20"/>
        </w:rPr>
      </w:pPr>
      <w:r w:rsidRPr="001A743B">
        <w:rPr>
          <w:rFonts w:ascii="Arial" w:hAnsi="Arial" w:cs="Arial"/>
          <w:sz w:val="20"/>
          <w:szCs w:val="20"/>
        </w:rPr>
        <w:t xml:space="preserve">Collaborator Affiliations: </w:t>
      </w:r>
      <w:r w:rsidRPr="001A743B">
        <w:rPr>
          <w:rFonts w:ascii="Arial" w:hAnsi="Arial" w:cs="Arial"/>
          <w:sz w:val="20"/>
          <w:szCs w:val="20"/>
        </w:rPr>
        <w:tab/>
      </w:r>
      <w:r w:rsidRPr="001A743B">
        <w:rPr>
          <w:rFonts w:ascii="Arial" w:hAnsi="Arial" w:cs="Arial"/>
          <w:sz w:val="20"/>
          <w:szCs w:val="20"/>
        </w:rPr>
        <w:tab/>
        <w:t>Departments and/or Schools and/or Community Partners</w:t>
      </w:r>
    </w:p>
    <w:p w14:paraId="6C1BBA95" w14:textId="535EA544" w:rsidR="001D479D" w:rsidRPr="001A743B" w:rsidRDefault="001D479D" w:rsidP="00544A89">
      <w:pPr>
        <w:spacing w:line="276" w:lineRule="auto"/>
        <w:rPr>
          <w:rFonts w:ascii="Arial" w:hAnsi="Arial" w:cs="Arial"/>
          <w:sz w:val="20"/>
          <w:szCs w:val="20"/>
        </w:rPr>
      </w:pPr>
      <w:r w:rsidRPr="001A743B">
        <w:rPr>
          <w:rFonts w:ascii="Arial" w:hAnsi="Arial" w:cs="Arial"/>
          <w:sz w:val="20"/>
          <w:szCs w:val="20"/>
        </w:rPr>
        <w:t xml:space="preserve">Total Budget: </w:t>
      </w:r>
      <w:r w:rsidRPr="001A743B">
        <w:rPr>
          <w:rFonts w:ascii="Arial" w:hAnsi="Arial" w:cs="Arial"/>
          <w:sz w:val="20"/>
          <w:szCs w:val="20"/>
        </w:rPr>
        <w:tab/>
      </w:r>
      <w:r w:rsidRPr="001A743B">
        <w:rPr>
          <w:rFonts w:ascii="Arial" w:hAnsi="Arial" w:cs="Arial"/>
          <w:sz w:val="20"/>
          <w:szCs w:val="20"/>
        </w:rPr>
        <w:tab/>
      </w:r>
      <w:r w:rsidRPr="001A743B">
        <w:rPr>
          <w:rFonts w:ascii="Arial" w:hAnsi="Arial" w:cs="Arial"/>
          <w:sz w:val="20"/>
          <w:szCs w:val="20"/>
        </w:rPr>
        <w:tab/>
      </w:r>
      <w:r w:rsidRPr="001A743B">
        <w:rPr>
          <w:rFonts w:ascii="Arial" w:hAnsi="Arial" w:cs="Arial"/>
          <w:sz w:val="20"/>
          <w:szCs w:val="20"/>
        </w:rPr>
        <w:tab/>
        <w:t>$XX,XXX</w:t>
      </w:r>
    </w:p>
    <w:p w14:paraId="5136EDF9" w14:textId="676FA7CC" w:rsidR="001D479D" w:rsidRPr="001A743B" w:rsidRDefault="001D479D" w:rsidP="00544A89">
      <w:pPr>
        <w:spacing w:line="276" w:lineRule="auto"/>
        <w:rPr>
          <w:rFonts w:ascii="Arial" w:hAnsi="Arial" w:cs="Arial"/>
          <w:sz w:val="20"/>
          <w:szCs w:val="20"/>
        </w:rPr>
      </w:pPr>
      <w:r w:rsidRPr="001A743B">
        <w:rPr>
          <w:rFonts w:ascii="Arial" w:hAnsi="Arial" w:cs="Arial"/>
          <w:sz w:val="20"/>
          <w:szCs w:val="20"/>
        </w:rPr>
        <w:t xml:space="preserve">SPH Match: </w:t>
      </w:r>
      <w:r w:rsidRPr="001A743B">
        <w:rPr>
          <w:rFonts w:ascii="Arial" w:hAnsi="Arial" w:cs="Arial"/>
          <w:sz w:val="20"/>
          <w:szCs w:val="20"/>
        </w:rPr>
        <w:tab/>
      </w:r>
      <w:r w:rsidRPr="001A743B">
        <w:rPr>
          <w:rFonts w:ascii="Arial" w:hAnsi="Arial" w:cs="Arial"/>
          <w:sz w:val="20"/>
          <w:szCs w:val="20"/>
        </w:rPr>
        <w:tab/>
      </w:r>
      <w:r w:rsidRPr="001A743B">
        <w:rPr>
          <w:rFonts w:ascii="Arial" w:hAnsi="Arial" w:cs="Arial"/>
          <w:sz w:val="20"/>
          <w:szCs w:val="20"/>
        </w:rPr>
        <w:tab/>
      </w:r>
      <w:r w:rsidRPr="001A743B">
        <w:rPr>
          <w:rFonts w:ascii="Arial" w:hAnsi="Arial" w:cs="Arial"/>
          <w:sz w:val="20"/>
          <w:szCs w:val="20"/>
        </w:rPr>
        <w:tab/>
        <w:t>$15,000 or $5,000 (see above)</w:t>
      </w:r>
    </w:p>
    <w:p w14:paraId="5A9ED86F" w14:textId="1B0C502D" w:rsidR="00BD4642" w:rsidRPr="001A743B" w:rsidRDefault="001D479D" w:rsidP="00544A89">
      <w:pPr>
        <w:spacing w:line="276" w:lineRule="auto"/>
        <w:rPr>
          <w:rFonts w:ascii="Arial" w:hAnsi="Arial" w:cs="Arial"/>
          <w:sz w:val="20"/>
          <w:szCs w:val="20"/>
        </w:rPr>
      </w:pPr>
      <w:r w:rsidRPr="001A743B">
        <w:rPr>
          <w:rFonts w:ascii="Arial" w:hAnsi="Arial" w:cs="Arial"/>
          <w:sz w:val="20"/>
          <w:szCs w:val="20"/>
        </w:rPr>
        <w:t xml:space="preserve">Department Match: </w:t>
      </w:r>
      <w:r w:rsidRPr="001A743B">
        <w:rPr>
          <w:rFonts w:ascii="Arial" w:hAnsi="Arial" w:cs="Arial"/>
          <w:sz w:val="20"/>
          <w:szCs w:val="20"/>
        </w:rPr>
        <w:tab/>
      </w:r>
      <w:r w:rsidRPr="001A743B">
        <w:rPr>
          <w:rFonts w:ascii="Arial" w:hAnsi="Arial" w:cs="Arial"/>
          <w:sz w:val="20"/>
          <w:szCs w:val="20"/>
        </w:rPr>
        <w:tab/>
      </w:r>
      <w:r w:rsidRPr="001A743B">
        <w:rPr>
          <w:rFonts w:ascii="Arial" w:hAnsi="Arial" w:cs="Arial"/>
          <w:sz w:val="20"/>
          <w:szCs w:val="20"/>
        </w:rPr>
        <w:tab/>
        <w:t>$X,XXX if provided</w:t>
      </w:r>
    </w:p>
    <w:p w14:paraId="3C25634D" w14:textId="34C1D01E" w:rsidR="001D479D" w:rsidRPr="001A743B" w:rsidRDefault="001D479D" w:rsidP="00544A89">
      <w:pPr>
        <w:pStyle w:val="Default"/>
        <w:spacing w:line="276" w:lineRule="auto"/>
        <w:rPr>
          <w:sz w:val="20"/>
          <w:szCs w:val="20"/>
        </w:rPr>
      </w:pPr>
      <w:r w:rsidRPr="001A743B">
        <w:rPr>
          <w:sz w:val="20"/>
          <w:szCs w:val="20"/>
        </w:rPr>
        <w:t xml:space="preserve">Match from other school/college: </w:t>
      </w:r>
      <w:r w:rsidRPr="001A743B">
        <w:rPr>
          <w:sz w:val="20"/>
          <w:szCs w:val="20"/>
        </w:rPr>
        <w:tab/>
        <w:t xml:space="preserve">$X,XXX if applicable </w:t>
      </w:r>
    </w:p>
    <w:p w14:paraId="015F54E6" w14:textId="46CF15B2" w:rsidR="001D479D" w:rsidRPr="001A743B" w:rsidRDefault="001D479D" w:rsidP="00544A89">
      <w:pPr>
        <w:pStyle w:val="Default"/>
        <w:spacing w:line="276" w:lineRule="auto"/>
        <w:rPr>
          <w:sz w:val="20"/>
          <w:szCs w:val="20"/>
        </w:rPr>
      </w:pPr>
      <w:r w:rsidRPr="001A743B">
        <w:rPr>
          <w:sz w:val="20"/>
          <w:szCs w:val="20"/>
        </w:rPr>
        <w:t xml:space="preserve">TOTAL Requested from PHI: </w:t>
      </w:r>
      <w:r w:rsidRPr="001A743B">
        <w:rPr>
          <w:sz w:val="20"/>
          <w:szCs w:val="20"/>
        </w:rPr>
        <w:tab/>
      </w:r>
      <w:r w:rsidRPr="001A743B">
        <w:rPr>
          <w:sz w:val="20"/>
          <w:szCs w:val="20"/>
        </w:rPr>
        <w:tab/>
        <w:t xml:space="preserve">$X,XXX (e.g., total budget minus total dollar amount of matching) </w:t>
      </w:r>
    </w:p>
    <w:p w14:paraId="33BA638A" w14:textId="77777777" w:rsidR="00544A89" w:rsidRPr="001A743B" w:rsidRDefault="00544A89" w:rsidP="00544A89">
      <w:pPr>
        <w:pStyle w:val="Default"/>
        <w:spacing w:line="276" w:lineRule="auto"/>
        <w:rPr>
          <w:sz w:val="20"/>
          <w:szCs w:val="20"/>
        </w:rPr>
      </w:pPr>
    </w:p>
    <w:p w14:paraId="41489974" w14:textId="02B34DC0" w:rsidR="001D479D" w:rsidRPr="001A743B" w:rsidRDefault="001D479D" w:rsidP="00544A89">
      <w:pPr>
        <w:pStyle w:val="Default"/>
        <w:spacing w:line="276" w:lineRule="auto"/>
        <w:rPr>
          <w:sz w:val="20"/>
          <w:szCs w:val="20"/>
          <w:u w:val="single"/>
        </w:rPr>
      </w:pPr>
      <w:r w:rsidRPr="001A743B">
        <w:rPr>
          <w:sz w:val="20"/>
          <w:szCs w:val="20"/>
          <w:u w:val="single"/>
        </w:rPr>
        <w:t xml:space="preserve">Documenting the SPH match for your application: </w:t>
      </w:r>
    </w:p>
    <w:p w14:paraId="1933BCD4" w14:textId="77777777" w:rsidR="001D479D" w:rsidRPr="001A743B" w:rsidRDefault="001D479D" w:rsidP="00544A89">
      <w:pPr>
        <w:pStyle w:val="Default"/>
        <w:spacing w:line="276" w:lineRule="auto"/>
        <w:rPr>
          <w:sz w:val="20"/>
          <w:szCs w:val="20"/>
        </w:rPr>
      </w:pPr>
      <w:r w:rsidRPr="001A743B">
        <w:rPr>
          <w:sz w:val="20"/>
          <w:szCs w:val="20"/>
        </w:rPr>
        <w:t xml:space="preserve">A PDF of an email from the Dean’s Office documenting the matching commitment is sufficient for the PHI application. Letters of support are not required for this opportunity. </w:t>
      </w:r>
    </w:p>
    <w:p w14:paraId="5F9E74BF" w14:textId="77777777" w:rsidR="001D479D" w:rsidRPr="001A743B" w:rsidRDefault="001D479D" w:rsidP="00544A89">
      <w:pPr>
        <w:spacing w:line="276" w:lineRule="auto"/>
        <w:rPr>
          <w:rFonts w:ascii="Arial" w:hAnsi="Arial" w:cs="Arial"/>
          <w:sz w:val="20"/>
          <w:szCs w:val="20"/>
        </w:rPr>
      </w:pPr>
    </w:p>
    <w:p w14:paraId="706F20E4" w14:textId="39E74D8E" w:rsidR="001A743B" w:rsidRDefault="001D479D" w:rsidP="001A743B">
      <w:pPr>
        <w:spacing w:line="276" w:lineRule="auto"/>
        <w:rPr>
          <w:rFonts w:ascii="Arial" w:hAnsi="Arial" w:cs="Arial"/>
          <w:color w:val="000000" w:themeColor="text1"/>
          <w:sz w:val="20"/>
          <w:szCs w:val="20"/>
          <w:u w:val="single"/>
        </w:rPr>
      </w:pPr>
      <w:r w:rsidRPr="001A743B">
        <w:rPr>
          <w:rFonts w:ascii="Arial" w:hAnsi="Arial" w:cs="Arial"/>
          <w:sz w:val="20"/>
          <w:szCs w:val="20"/>
          <w:u w:val="single"/>
        </w:rPr>
        <w:t>NOTE:</w:t>
      </w:r>
      <w:r w:rsidRPr="001A743B">
        <w:rPr>
          <w:rFonts w:ascii="Arial" w:hAnsi="Arial" w:cs="Arial"/>
          <w:sz w:val="20"/>
          <w:szCs w:val="20"/>
        </w:rPr>
        <w:t xml:space="preserve"> This matching funds policy is subject to availability of funds and may be modified.</w:t>
      </w:r>
      <w:r w:rsidR="001A743B" w:rsidRPr="001A743B">
        <w:rPr>
          <w:rFonts w:ascii="Arial" w:hAnsi="Arial" w:cs="Arial"/>
          <w:color w:val="000000" w:themeColor="text1"/>
          <w:sz w:val="20"/>
          <w:szCs w:val="20"/>
          <w:u w:val="single"/>
        </w:rPr>
        <w:t xml:space="preserve"> </w:t>
      </w:r>
    </w:p>
    <w:p w14:paraId="0861FCF4" w14:textId="77777777" w:rsidR="007C06E6" w:rsidRDefault="007C06E6" w:rsidP="001A743B">
      <w:pPr>
        <w:spacing w:line="276" w:lineRule="auto"/>
        <w:rPr>
          <w:rFonts w:ascii="Arial" w:hAnsi="Arial" w:cs="Arial"/>
          <w:color w:val="000000" w:themeColor="text1"/>
          <w:sz w:val="20"/>
          <w:szCs w:val="20"/>
        </w:rPr>
      </w:pPr>
    </w:p>
    <w:p w14:paraId="075824EC" w14:textId="7F3AA893" w:rsidR="00D01888" w:rsidRPr="00916DE1" w:rsidRDefault="00D01888" w:rsidP="001A743B">
      <w:pPr>
        <w:spacing w:line="276" w:lineRule="auto"/>
        <w:rPr>
          <w:rFonts w:ascii="Arial" w:hAnsi="Arial" w:cs="Arial"/>
          <w:b/>
          <w:bCs/>
          <w:color w:val="000000" w:themeColor="text1"/>
          <w:sz w:val="20"/>
          <w:szCs w:val="20"/>
        </w:rPr>
      </w:pPr>
      <w:r w:rsidRPr="00916DE1">
        <w:rPr>
          <w:rFonts w:ascii="Arial" w:hAnsi="Arial" w:cs="Arial"/>
          <w:b/>
          <w:bCs/>
          <w:color w:val="000000" w:themeColor="text1"/>
          <w:sz w:val="20"/>
          <w:szCs w:val="20"/>
        </w:rPr>
        <w:t xml:space="preserve">Addendum: New rules on availability of SPH matches, instituted at the start of 2023. </w:t>
      </w:r>
    </w:p>
    <w:p w14:paraId="2922F551" w14:textId="77777777" w:rsidR="001A743B" w:rsidRDefault="001A743B" w:rsidP="001A743B">
      <w:pPr>
        <w:spacing w:line="276" w:lineRule="auto"/>
        <w:rPr>
          <w:rFonts w:ascii="Arial" w:hAnsi="Arial" w:cs="Arial"/>
          <w:color w:val="000000" w:themeColor="text1"/>
          <w:sz w:val="20"/>
          <w:szCs w:val="20"/>
          <w:u w:val="single"/>
        </w:rPr>
      </w:pPr>
    </w:p>
    <w:p w14:paraId="52FC2F22" w14:textId="724DAE41" w:rsidR="001A743B" w:rsidRPr="001A743B" w:rsidRDefault="001A743B" w:rsidP="00296727">
      <w:pPr>
        <w:spacing w:line="276" w:lineRule="auto"/>
        <w:ind w:left="720"/>
        <w:rPr>
          <w:rFonts w:ascii="Arial" w:hAnsi="Arial" w:cs="Arial"/>
          <w:color w:val="000000" w:themeColor="text1"/>
          <w:sz w:val="20"/>
          <w:szCs w:val="20"/>
        </w:rPr>
      </w:pPr>
      <w:r w:rsidRPr="001A743B">
        <w:rPr>
          <w:rFonts w:ascii="Arial" w:hAnsi="Arial" w:cs="Arial"/>
          <w:color w:val="000000" w:themeColor="text1"/>
          <w:sz w:val="20"/>
          <w:szCs w:val="20"/>
          <w:u w:val="single"/>
        </w:rPr>
        <w:t>Background</w:t>
      </w:r>
    </w:p>
    <w:p w14:paraId="350B464C" w14:textId="77777777" w:rsidR="001A743B" w:rsidRPr="001A743B" w:rsidRDefault="001A743B" w:rsidP="00296727">
      <w:pPr>
        <w:spacing w:line="276" w:lineRule="auto"/>
        <w:ind w:left="720"/>
        <w:rPr>
          <w:rFonts w:ascii="Arial" w:hAnsi="Arial" w:cs="Arial"/>
          <w:color w:val="000000" w:themeColor="text1"/>
          <w:sz w:val="20"/>
          <w:szCs w:val="20"/>
          <w:shd w:val="clear" w:color="auto" w:fill="FFFFFF"/>
        </w:rPr>
      </w:pPr>
      <w:r w:rsidRPr="001A743B">
        <w:rPr>
          <w:rFonts w:ascii="Arial" w:hAnsi="Arial" w:cs="Arial"/>
          <w:color w:val="000000" w:themeColor="text1"/>
          <w:sz w:val="20"/>
          <w:szCs w:val="20"/>
          <w:shd w:val="clear" w:color="auto" w:fill="FFFFFF"/>
        </w:rPr>
        <w:t xml:space="preserve">The SPH has endeavored to stimulate faculty, staff, and student participation in PHI-funded projects. Evidence of success includes disproportionately strong representation by SPH investigators among PHI grant and fellowship recipients. In the latest round of pilot research awards announced by PHI in FQ 2022, 6 of 9 awards had SPH PIs or co-investigators. </w:t>
      </w:r>
    </w:p>
    <w:p w14:paraId="0C949725" w14:textId="77777777" w:rsidR="001A743B" w:rsidRPr="001A743B" w:rsidRDefault="001A743B" w:rsidP="00296727">
      <w:pPr>
        <w:spacing w:line="276" w:lineRule="auto"/>
        <w:ind w:left="720"/>
        <w:rPr>
          <w:rFonts w:ascii="Arial" w:hAnsi="Arial" w:cs="Arial"/>
          <w:color w:val="000000" w:themeColor="text1"/>
          <w:sz w:val="20"/>
          <w:szCs w:val="20"/>
          <w:shd w:val="clear" w:color="auto" w:fill="FFFFFF"/>
        </w:rPr>
      </w:pPr>
    </w:p>
    <w:p w14:paraId="3B772F7F" w14:textId="77777777" w:rsidR="001A743B" w:rsidRPr="001A743B" w:rsidRDefault="001A743B" w:rsidP="00296727">
      <w:pPr>
        <w:spacing w:line="276" w:lineRule="auto"/>
        <w:ind w:left="720"/>
        <w:rPr>
          <w:rFonts w:ascii="Arial" w:hAnsi="Arial" w:cs="Arial"/>
          <w:color w:val="000000" w:themeColor="text1"/>
          <w:sz w:val="20"/>
          <w:szCs w:val="20"/>
          <w:shd w:val="clear" w:color="auto" w:fill="FFFFFF"/>
        </w:rPr>
      </w:pPr>
      <w:r w:rsidRPr="001A743B">
        <w:rPr>
          <w:rFonts w:ascii="Arial" w:hAnsi="Arial" w:cs="Arial"/>
          <w:color w:val="000000" w:themeColor="text1"/>
          <w:sz w:val="20"/>
          <w:szCs w:val="20"/>
          <w:shd w:val="clear" w:color="auto" w:fill="FFFFFF"/>
        </w:rPr>
        <w:t>One way the School has encouraged SPH participation has been to provide supplemental (“matching”) funding to PHI awardees. Typically, this amounts to $15,000 for SPH PI’s, $5,000 for SPH co-investigators in projects proposed by PI’s in other Schools and Colleges. These supplements also enhance the impact of PHI-funded research, especially when applied to smaller PHI awards.</w:t>
      </w:r>
    </w:p>
    <w:p w14:paraId="224B8F97" w14:textId="77777777" w:rsidR="001A743B" w:rsidRPr="001A743B" w:rsidRDefault="001A743B" w:rsidP="00296727">
      <w:pPr>
        <w:pStyle w:val="Default"/>
        <w:spacing w:line="276" w:lineRule="auto"/>
        <w:ind w:left="720"/>
        <w:rPr>
          <w:sz w:val="20"/>
          <w:szCs w:val="20"/>
          <w:u w:val="single"/>
        </w:rPr>
      </w:pPr>
    </w:p>
    <w:p w14:paraId="47D04ED3" w14:textId="77777777" w:rsidR="001A743B" w:rsidRPr="001A743B" w:rsidRDefault="001A743B" w:rsidP="00296727">
      <w:pPr>
        <w:pStyle w:val="Default"/>
        <w:spacing w:line="276" w:lineRule="auto"/>
        <w:ind w:left="720"/>
        <w:rPr>
          <w:sz w:val="20"/>
          <w:szCs w:val="20"/>
          <w:u w:val="single"/>
        </w:rPr>
      </w:pPr>
      <w:r w:rsidRPr="001A743B">
        <w:rPr>
          <w:sz w:val="20"/>
          <w:szCs w:val="20"/>
          <w:u w:val="single"/>
        </w:rPr>
        <w:t>The challenge</w:t>
      </w:r>
    </w:p>
    <w:p w14:paraId="1D6CCC9F" w14:textId="77777777" w:rsidR="001A743B" w:rsidRPr="001A743B" w:rsidRDefault="001A743B" w:rsidP="00296727">
      <w:pPr>
        <w:pStyle w:val="Default"/>
        <w:spacing w:line="276" w:lineRule="auto"/>
        <w:ind w:left="720"/>
        <w:rPr>
          <w:sz w:val="20"/>
          <w:szCs w:val="20"/>
        </w:rPr>
      </w:pPr>
      <w:r w:rsidRPr="001A743B">
        <w:rPr>
          <w:sz w:val="20"/>
          <w:szCs w:val="20"/>
        </w:rPr>
        <w:t xml:space="preserve">In the years since its launch in 2016, the PHI has greatly expanded its funding opportunities. Meanwhile, the School has greatly increased its participation. As a result, the School’s supplementation program has become far more costly than originally anticipated. Annual costs have risen from $10K in the first year to &gt;$100K/year in two of the last three years. This puts strain on other initiatives that the School may wish to pursue to stimulate SPH research, collaboration, and engagement. </w:t>
      </w:r>
    </w:p>
    <w:p w14:paraId="71F2ACAD" w14:textId="77777777" w:rsidR="001A743B" w:rsidRPr="001A743B" w:rsidRDefault="001A743B" w:rsidP="00296727">
      <w:pPr>
        <w:pStyle w:val="Default"/>
        <w:spacing w:line="276" w:lineRule="auto"/>
        <w:ind w:left="720"/>
        <w:rPr>
          <w:color w:val="000000" w:themeColor="text1"/>
          <w:sz w:val="20"/>
          <w:szCs w:val="20"/>
          <w:u w:val="single"/>
        </w:rPr>
      </w:pPr>
    </w:p>
    <w:p w14:paraId="5028D845" w14:textId="77777777" w:rsidR="008472D4" w:rsidRDefault="001A743B" w:rsidP="00296727">
      <w:pPr>
        <w:spacing w:line="276" w:lineRule="auto"/>
        <w:ind w:left="720"/>
        <w:rPr>
          <w:rFonts w:ascii="Arial" w:hAnsi="Arial" w:cs="Arial"/>
          <w:color w:val="000000" w:themeColor="text1"/>
          <w:sz w:val="20"/>
          <w:szCs w:val="20"/>
          <w:shd w:val="clear" w:color="auto" w:fill="FFFFFF"/>
        </w:rPr>
      </w:pPr>
      <w:r w:rsidRPr="001A743B">
        <w:rPr>
          <w:rFonts w:ascii="Arial" w:hAnsi="Arial" w:cs="Arial"/>
          <w:color w:val="000000" w:themeColor="text1"/>
          <w:sz w:val="20"/>
          <w:szCs w:val="20"/>
          <w:u w:val="single"/>
          <w:shd w:val="clear" w:color="auto" w:fill="FFFFFF"/>
        </w:rPr>
        <w:t>Priorities</w:t>
      </w:r>
    </w:p>
    <w:p w14:paraId="3205DEFE" w14:textId="3FE1AFFA" w:rsidR="001A743B" w:rsidRPr="001A743B" w:rsidRDefault="001A743B" w:rsidP="00296727">
      <w:pPr>
        <w:spacing w:line="276" w:lineRule="auto"/>
        <w:ind w:left="720"/>
        <w:rPr>
          <w:rFonts w:ascii="Arial" w:hAnsi="Arial" w:cs="Arial"/>
          <w:color w:val="000000" w:themeColor="text1"/>
          <w:sz w:val="20"/>
          <w:szCs w:val="20"/>
          <w:shd w:val="clear" w:color="auto" w:fill="FFFFFF"/>
        </w:rPr>
      </w:pPr>
      <w:r w:rsidRPr="001A743B">
        <w:rPr>
          <w:rFonts w:ascii="Arial" w:hAnsi="Arial" w:cs="Arial"/>
          <w:color w:val="000000" w:themeColor="text1"/>
          <w:sz w:val="20"/>
          <w:szCs w:val="20"/>
          <w:shd w:val="clear" w:color="auto" w:fill="FFFFFF"/>
        </w:rPr>
        <w:t>The availability of supplements should focus on three overall objectives:</w:t>
      </w:r>
    </w:p>
    <w:p w14:paraId="26488D58" w14:textId="77777777" w:rsidR="001A743B" w:rsidRPr="001A743B" w:rsidRDefault="001A743B" w:rsidP="00296727">
      <w:pPr>
        <w:pStyle w:val="ListParagraph"/>
        <w:numPr>
          <w:ilvl w:val="0"/>
          <w:numId w:val="7"/>
        </w:numPr>
        <w:spacing w:after="160" w:line="276" w:lineRule="auto"/>
        <w:ind w:left="1440"/>
        <w:rPr>
          <w:rFonts w:ascii="Arial" w:hAnsi="Arial" w:cs="Arial"/>
          <w:color w:val="000000" w:themeColor="text1"/>
          <w:sz w:val="20"/>
          <w:szCs w:val="20"/>
          <w:shd w:val="clear" w:color="auto" w:fill="FFFFFF"/>
        </w:rPr>
      </w:pPr>
      <w:r w:rsidRPr="001A743B">
        <w:rPr>
          <w:rFonts w:ascii="Arial" w:hAnsi="Arial" w:cs="Arial"/>
          <w:color w:val="000000" w:themeColor="text1"/>
          <w:sz w:val="20"/>
          <w:szCs w:val="20"/>
          <w:shd w:val="clear" w:color="auto" w:fill="FFFFFF"/>
        </w:rPr>
        <w:t>Optimize outcomes for investigators, by focusing on projects that have the most to gain from supplements in the $5K to $15K range.</w:t>
      </w:r>
    </w:p>
    <w:p w14:paraId="48631EFE" w14:textId="77777777" w:rsidR="001A743B" w:rsidRPr="001A743B" w:rsidRDefault="001A743B" w:rsidP="00296727">
      <w:pPr>
        <w:pStyle w:val="ListParagraph"/>
        <w:numPr>
          <w:ilvl w:val="0"/>
          <w:numId w:val="7"/>
        </w:numPr>
        <w:spacing w:after="160" w:line="276" w:lineRule="auto"/>
        <w:ind w:left="1440"/>
        <w:rPr>
          <w:rFonts w:ascii="Arial" w:hAnsi="Arial" w:cs="Arial"/>
          <w:color w:val="000000" w:themeColor="text1"/>
          <w:sz w:val="20"/>
          <w:szCs w:val="20"/>
          <w:shd w:val="clear" w:color="auto" w:fill="FFFFFF"/>
        </w:rPr>
      </w:pPr>
      <w:r w:rsidRPr="001A743B">
        <w:rPr>
          <w:rFonts w:ascii="Arial" w:hAnsi="Arial" w:cs="Arial"/>
          <w:color w:val="000000" w:themeColor="text1"/>
          <w:sz w:val="20"/>
          <w:szCs w:val="20"/>
          <w:shd w:val="clear" w:color="auto" w:fill="FFFFFF"/>
        </w:rPr>
        <w:t xml:space="preserve">Maximize outcomes for the School’s overall research enterprise, by focusing on projects that are most likely to lead to </w:t>
      </w:r>
      <w:r w:rsidRPr="001A743B">
        <w:rPr>
          <w:rFonts w:ascii="Arial" w:hAnsi="Arial" w:cs="Arial"/>
          <w:i/>
          <w:color w:val="000000" w:themeColor="text1"/>
          <w:sz w:val="20"/>
          <w:szCs w:val="20"/>
          <w:shd w:val="clear" w:color="auto" w:fill="FFFFFF"/>
        </w:rPr>
        <w:t>new</w:t>
      </w:r>
      <w:r w:rsidRPr="001A743B">
        <w:rPr>
          <w:rFonts w:ascii="Arial" w:hAnsi="Arial" w:cs="Arial"/>
          <w:color w:val="000000" w:themeColor="text1"/>
          <w:sz w:val="20"/>
          <w:szCs w:val="20"/>
          <w:shd w:val="clear" w:color="auto" w:fill="FFFFFF"/>
        </w:rPr>
        <w:t xml:space="preserve"> collaborative initiatives and </w:t>
      </w:r>
      <w:r w:rsidRPr="001A743B">
        <w:rPr>
          <w:rFonts w:ascii="Arial" w:hAnsi="Arial" w:cs="Arial"/>
          <w:i/>
          <w:color w:val="000000" w:themeColor="text1"/>
          <w:sz w:val="20"/>
          <w:szCs w:val="20"/>
          <w:shd w:val="clear" w:color="auto" w:fill="FFFFFF"/>
        </w:rPr>
        <w:t>new</w:t>
      </w:r>
      <w:r w:rsidRPr="001A743B">
        <w:rPr>
          <w:rFonts w:ascii="Arial" w:hAnsi="Arial" w:cs="Arial"/>
          <w:color w:val="000000" w:themeColor="text1"/>
          <w:sz w:val="20"/>
          <w:szCs w:val="20"/>
          <w:shd w:val="clear" w:color="auto" w:fill="FFFFFF"/>
        </w:rPr>
        <w:t xml:space="preserve"> externally-funded research efforts.</w:t>
      </w:r>
    </w:p>
    <w:p w14:paraId="1DA8CEB1" w14:textId="77777777" w:rsidR="001A743B" w:rsidRPr="001A743B" w:rsidRDefault="001A743B" w:rsidP="00296727">
      <w:pPr>
        <w:pStyle w:val="ListParagraph"/>
        <w:numPr>
          <w:ilvl w:val="0"/>
          <w:numId w:val="7"/>
        </w:numPr>
        <w:spacing w:after="160" w:line="276" w:lineRule="auto"/>
        <w:ind w:left="1440"/>
        <w:rPr>
          <w:rFonts w:ascii="Arial" w:hAnsi="Arial" w:cs="Arial"/>
          <w:color w:val="000000" w:themeColor="text1"/>
          <w:sz w:val="20"/>
          <w:szCs w:val="20"/>
          <w:shd w:val="clear" w:color="auto" w:fill="FFFFFF"/>
        </w:rPr>
      </w:pPr>
      <w:r w:rsidRPr="001A743B">
        <w:rPr>
          <w:rFonts w:ascii="Arial" w:hAnsi="Arial" w:cs="Arial"/>
          <w:color w:val="000000" w:themeColor="text1"/>
          <w:sz w:val="20"/>
          <w:szCs w:val="20"/>
          <w:shd w:val="clear" w:color="auto" w:fill="FFFFFF"/>
        </w:rPr>
        <w:t xml:space="preserve">Encourage SPH investigators to take up Population Health as a new area of research. </w:t>
      </w:r>
    </w:p>
    <w:p w14:paraId="376F4A96" w14:textId="77777777" w:rsidR="008472D4" w:rsidRDefault="001A743B" w:rsidP="00296727">
      <w:pPr>
        <w:spacing w:line="276" w:lineRule="auto"/>
        <w:ind w:left="720"/>
        <w:rPr>
          <w:rFonts w:ascii="Arial" w:hAnsi="Arial" w:cs="Arial"/>
          <w:color w:val="000000" w:themeColor="text1"/>
          <w:sz w:val="20"/>
          <w:szCs w:val="20"/>
          <w:shd w:val="clear" w:color="auto" w:fill="FFFFFF"/>
        </w:rPr>
      </w:pPr>
      <w:r w:rsidRPr="001A743B">
        <w:rPr>
          <w:rFonts w:ascii="Arial" w:hAnsi="Arial" w:cs="Arial"/>
          <w:color w:val="000000" w:themeColor="text1"/>
          <w:sz w:val="20"/>
          <w:szCs w:val="20"/>
          <w:u w:val="single"/>
          <w:shd w:val="clear" w:color="auto" w:fill="FFFFFF"/>
        </w:rPr>
        <w:t>Revisions to policy</w:t>
      </w:r>
    </w:p>
    <w:p w14:paraId="700E1CA9" w14:textId="7876D53E" w:rsidR="001A743B" w:rsidRDefault="001A743B" w:rsidP="00296727">
      <w:pPr>
        <w:spacing w:line="276" w:lineRule="auto"/>
        <w:ind w:left="720"/>
        <w:rPr>
          <w:rFonts w:ascii="Arial" w:hAnsi="Arial" w:cs="Arial"/>
          <w:color w:val="000000" w:themeColor="text1"/>
          <w:sz w:val="20"/>
          <w:szCs w:val="20"/>
          <w:shd w:val="clear" w:color="auto" w:fill="FFFFFF"/>
        </w:rPr>
      </w:pPr>
      <w:r w:rsidRPr="001A743B">
        <w:rPr>
          <w:rFonts w:ascii="Arial" w:hAnsi="Arial" w:cs="Arial"/>
          <w:color w:val="000000" w:themeColor="text1"/>
          <w:sz w:val="20"/>
          <w:szCs w:val="20"/>
          <w:shd w:val="clear" w:color="auto" w:fill="FFFFFF"/>
        </w:rPr>
        <w:t>With this in mind</w:t>
      </w:r>
      <w:r w:rsidR="00570C2B">
        <w:rPr>
          <w:rFonts w:ascii="Arial" w:hAnsi="Arial" w:cs="Arial"/>
          <w:color w:val="000000" w:themeColor="text1"/>
          <w:sz w:val="20"/>
          <w:szCs w:val="20"/>
          <w:shd w:val="clear" w:color="auto" w:fill="FFFFFF"/>
        </w:rPr>
        <w:t>,</w:t>
      </w:r>
      <w:r w:rsidRPr="001A743B">
        <w:rPr>
          <w:rFonts w:ascii="Arial" w:hAnsi="Arial" w:cs="Arial"/>
          <w:color w:val="000000" w:themeColor="text1"/>
          <w:sz w:val="20"/>
          <w:szCs w:val="20"/>
          <w:shd w:val="clear" w:color="auto" w:fill="FFFFFF"/>
        </w:rPr>
        <w:t xml:space="preserve"> we will implement the following changes effective January 1, 2023:</w:t>
      </w:r>
    </w:p>
    <w:p w14:paraId="686E80B8" w14:textId="77777777" w:rsidR="001A743B" w:rsidRPr="001A743B" w:rsidRDefault="001A743B" w:rsidP="00296727">
      <w:pPr>
        <w:pStyle w:val="Default"/>
        <w:spacing w:line="276" w:lineRule="auto"/>
        <w:ind w:left="720"/>
        <w:rPr>
          <w:sz w:val="20"/>
          <w:szCs w:val="20"/>
          <w:u w:val="single"/>
        </w:rPr>
      </w:pPr>
    </w:p>
    <w:tbl>
      <w:tblPr>
        <w:tblStyle w:val="TableGrid"/>
        <w:tblW w:w="9535" w:type="dxa"/>
        <w:tblInd w:w="720" w:type="dxa"/>
        <w:tblLook w:val="04A0" w:firstRow="1" w:lastRow="0" w:firstColumn="1" w:lastColumn="0" w:noHBand="0" w:noVBand="1"/>
      </w:tblPr>
      <w:tblGrid>
        <w:gridCol w:w="3055"/>
        <w:gridCol w:w="6480"/>
      </w:tblGrid>
      <w:tr w:rsidR="001A743B" w:rsidRPr="001A743B" w14:paraId="1925C890" w14:textId="77777777" w:rsidTr="00296727">
        <w:tc>
          <w:tcPr>
            <w:tcW w:w="3055" w:type="dxa"/>
          </w:tcPr>
          <w:p w14:paraId="724D0076" w14:textId="77777777" w:rsidR="001A743B" w:rsidRPr="001A743B" w:rsidRDefault="001A743B" w:rsidP="00701CE4">
            <w:pPr>
              <w:pStyle w:val="Default"/>
              <w:spacing w:line="276" w:lineRule="auto"/>
              <w:rPr>
                <w:b/>
                <w:sz w:val="20"/>
                <w:szCs w:val="20"/>
              </w:rPr>
            </w:pPr>
            <w:r w:rsidRPr="001A743B">
              <w:rPr>
                <w:b/>
                <w:sz w:val="20"/>
                <w:szCs w:val="20"/>
              </w:rPr>
              <w:t>New policy</w:t>
            </w:r>
          </w:p>
        </w:tc>
        <w:tc>
          <w:tcPr>
            <w:tcW w:w="6480" w:type="dxa"/>
          </w:tcPr>
          <w:p w14:paraId="0F17A51B" w14:textId="77777777" w:rsidR="001A743B" w:rsidRPr="001A743B" w:rsidRDefault="001A743B" w:rsidP="00701CE4">
            <w:pPr>
              <w:pStyle w:val="Default"/>
              <w:spacing w:line="276" w:lineRule="auto"/>
              <w:rPr>
                <w:b/>
                <w:sz w:val="20"/>
                <w:szCs w:val="20"/>
              </w:rPr>
            </w:pPr>
            <w:r w:rsidRPr="001A743B">
              <w:rPr>
                <w:b/>
                <w:sz w:val="20"/>
                <w:szCs w:val="20"/>
              </w:rPr>
              <w:t>Rationale</w:t>
            </w:r>
          </w:p>
        </w:tc>
      </w:tr>
      <w:tr w:rsidR="001A743B" w:rsidRPr="001A743B" w14:paraId="2A6336B9" w14:textId="77777777" w:rsidTr="00296727">
        <w:tc>
          <w:tcPr>
            <w:tcW w:w="3055" w:type="dxa"/>
          </w:tcPr>
          <w:p w14:paraId="598C084A" w14:textId="77777777" w:rsidR="001A743B" w:rsidRPr="001A743B" w:rsidRDefault="001A743B" w:rsidP="00701CE4">
            <w:pPr>
              <w:pStyle w:val="Default"/>
              <w:spacing w:line="276" w:lineRule="auto"/>
              <w:rPr>
                <w:sz w:val="20"/>
                <w:szCs w:val="20"/>
              </w:rPr>
            </w:pPr>
            <w:r w:rsidRPr="001A743B">
              <w:rPr>
                <w:sz w:val="20"/>
                <w:szCs w:val="20"/>
              </w:rPr>
              <w:t>Supplements limited to PHI-funded grants ≤$65,000</w:t>
            </w:r>
          </w:p>
        </w:tc>
        <w:tc>
          <w:tcPr>
            <w:tcW w:w="6480" w:type="dxa"/>
          </w:tcPr>
          <w:p w14:paraId="6C26DFC3" w14:textId="77777777" w:rsidR="001A743B" w:rsidRPr="001A743B" w:rsidRDefault="001A743B" w:rsidP="00701CE4">
            <w:pPr>
              <w:pStyle w:val="Default"/>
              <w:spacing w:line="276" w:lineRule="auto"/>
              <w:rPr>
                <w:sz w:val="20"/>
                <w:szCs w:val="20"/>
              </w:rPr>
            </w:pPr>
            <w:r w:rsidRPr="001A743B">
              <w:rPr>
                <w:sz w:val="20"/>
                <w:szCs w:val="20"/>
              </w:rPr>
              <w:t xml:space="preserve">$5K and $15K supplements have greater impact on smaller awards than on larger ones.* </w:t>
            </w:r>
          </w:p>
        </w:tc>
      </w:tr>
      <w:tr w:rsidR="001A743B" w:rsidRPr="001A743B" w14:paraId="47ECC16B" w14:textId="77777777" w:rsidTr="00296727">
        <w:tc>
          <w:tcPr>
            <w:tcW w:w="3055" w:type="dxa"/>
          </w:tcPr>
          <w:p w14:paraId="3B372CDA" w14:textId="77777777" w:rsidR="001A743B" w:rsidRPr="001A743B" w:rsidRDefault="001A743B" w:rsidP="00701CE4">
            <w:pPr>
              <w:pStyle w:val="Default"/>
              <w:spacing w:line="276" w:lineRule="auto"/>
              <w:rPr>
                <w:sz w:val="20"/>
                <w:szCs w:val="20"/>
              </w:rPr>
            </w:pPr>
            <w:r w:rsidRPr="001A743B">
              <w:rPr>
                <w:sz w:val="20"/>
                <w:szCs w:val="20"/>
              </w:rPr>
              <w:t>Investigators can receive no more than one supplement in a three-year period.**</w:t>
            </w:r>
          </w:p>
        </w:tc>
        <w:tc>
          <w:tcPr>
            <w:tcW w:w="6480" w:type="dxa"/>
          </w:tcPr>
          <w:p w14:paraId="4EC07246" w14:textId="77777777" w:rsidR="001A743B" w:rsidRPr="001A743B" w:rsidRDefault="001A743B" w:rsidP="00701CE4">
            <w:pPr>
              <w:pStyle w:val="Default"/>
              <w:spacing w:line="276" w:lineRule="auto"/>
              <w:rPr>
                <w:sz w:val="20"/>
                <w:szCs w:val="20"/>
              </w:rPr>
            </w:pPr>
            <w:r w:rsidRPr="001A743B">
              <w:rPr>
                <w:sz w:val="20"/>
                <w:szCs w:val="20"/>
              </w:rPr>
              <w:t xml:space="preserve">Over its history the supplement program has been used repeatedly by a few SPH investigators, and not at all by most others. This isn’t consistent with our objectives of stimulating new initiatives and attracting new investigators into the Population Health arena. </w:t>
            </w:r>
          </w:p>
        </w:tc>
      </w:tr>
      <w:tr w:rsidR="001A743B" w:rsidRPr="001A743B" w14:paraId="43428A5A" w14:textId="77777777" w:rsidTr="00296727">
        <w:tc>
          <w:tcPr>
            <w:tcW w:w="3055" w:type="dxa"/>
          </w:tcPr>
          <w:p w14:paraId="60C5057A" w14:textId="77777777" w:rsidR="001A743B" w:rsidRPr="001A743B" w:rsidRDefault="001A743B" w:rsidP="00701CE4">
            <w:pPr>
              <w:pStyle w:val="Default"/>
              <w:spacing w:line="276" w:lineRule="auto"/>
              <w:rPr>
                <w:sz w:val="20"/>
                <w:szCs w:val="20"/>
              </w:rPr>
            </w:pPr>
            <w:r w:rsidRPr="001A743B">
              <w:rPr>
                <w:sz w:val="20"/>
                <w:szCs w:val="20"/>
              </w:rPr>
              <w:lastRenderedPageBreak/>
              <w:t xml:space="preserve">Limit supplements to faculty investigators; end post doc matching, not expand to students. </w:t>
            </w:r>
          </w:p>
        </w:tc>
        <w:tc>
          <w:tcPr>
            <w:tcW w:w="6480" w:type="dxa"/>
          </w:tcPr>
          <w:p w14:paraId="017010D6" w14:textId="77777777" w:rsidR="001A743B" w:rsidRPr="001A743B" w:rsidRDefault="001A743B" w:rsidP="00701CE4">
            <w:pPr>
              <w:pStyle w:val="Default"/>
              <w:spacing w:line="276" w:lineRule="auto"/>
              <w:rPr>
                <w:sz w:val="20"/>
                <w:szCs w:val="20"/>
              </w:rPr>
            </w:pPr>
            <w:r w:rsidRPr="001A743B">
              <w:rPr>
                <w:sz w:val="20"/>
                <w:szCs w:val="20"/>
              </w:rPr>
              <w:t>While helpful to training, post doc and student supplements may not contribute as much to the launch of new externally funded research initiatives. Moreover, they are vulnerable to cost expansion from future PHI expansions of student fellowship opportunities.</w:t>
            </w:r>
          </w:p>
        </w:tc>
      </w:tr>
    </w:tbl>
    <w:p w14:paraId="6AC289C4" w14:textId="77777777" w:rsidR="001A743B" w:rsidRPr="001A743B" w:rsidRDefault="001A743B" w:rsidP="00296727">
      <w:pPr>
        <w:pStyle w:val="Default"/>
        <w:spacing w:line="276" w:lineRule="auto"/>
        <w:ind w:left="720"/>
        <w:rPr>
          <w:sz w:val="20"/>
          <w:szCs w:val="20"/>
          <w:u w:val="single"/>
        </w:rPr>
      </w:pPr>
    </w:p>
    <w:p w14:paraId="442C1F29" w14:textId="77777777" w:rsidR="001A743B" w:rsidRPr="001A743B" w:rsidRDefault="001A743B" w:rsidP="00296727">
      <w:pPr>
        <w:spacing w:line="276" w:lineRule="auto"/>
        <w:ind w:left="720"/>
        <w:rPr>
          <w:rFonts w:ascii="Arial" w:hAnsi="Arial" w:cs="Arial"/>
          <w:color w:val="000000" w:themeColor="text1"/>
          <w:sz w:val="20"/>
          <w:szCs w:val="20"/>
          <w:shd w:val="clear" w:color="auto" w:fill="FFFFFF"/>
        </w:rPr>
      </w:pPr>
      <w:r w:rsidRPr="001A743B">
        <w:rPr>
          <w:rFonts w:ascii="Arial" w:hAnsi="Arial" w:cs="Arial"/>
          <w:color w:val="000000" w:themeColor="text1"/>
          <w:sz w:val="20"/>
          <w:szCs w:val="20"/>
          <w:shd w:val="clear" w:color="auto" w:fill="FFFFFF"/>
        </w:rPr>
        <w:t>*A $65K cutoff is used rather than funder designations such as Tier 1, Tier 2, Tier 3, etc., because the latter may evolve over time.</w:t>
      </w:r>
    </w:p>
    <w:p w14:paraId="6BB44481" w14:textId="77777777" w:rsidR="001A743B" w:rsidRPr="001A743B" w:rsidRDefault="001A743B" w:rsidP="00296727">
      <w:pPr>
        <w:spacing w:line="276" w:lineRule="auto"/>
        <w:ind w:left="720"/>
        <w:rPr>
          <w:rFonts w:ascii="Arial" w:hAnsi="Arial" w:cs="Arial"/>
          <w:color w:val="000000" w:themeColor="text1"/>
          <w:sz w:val="20"/>
          <w:szCs w:val="20"/>
          <w:shd w:val="clear" w:color="auto" w:fill="FFFFFF"/>
        </w:rPr>
      </w:pPr>
      <w:r w:rsidRPr="001A743B">
        <w:rPr>
          <w:rFonts w:ascii="Arial" w:hAnsi="Arial" w:cs="Arial"/>
          <w:color w:val="000000" w:themeColor="text1"/>
          <w:sz w:val="20"/>
          <w:szCs w:val="20"/>
          <w:shd w:val="clear" w:color="auto" w:fill="FFFFFF"/>
        </w:rPr>
        <w:t xml:space="preserve">**Based on PHI application due date. Rule applies beginning on January 1, 2023. For example, grants due on February 1, 2023, will not be eligible for supplementation if the investigator received </w:t>
      </w:r>
      <w:r w:rsidRPr="001A743B">
        <w:rPr>
          <w:rFonts w:ascii="Arial" w:hAnsi="Arial" w:cs="Arial"/>
          <w:color w:val="000000" w:themeColor="text1"/>
          <w:sz w:val="20"/>
          <w:szCs w:val="20"/>
          <w:u w:val="single"/>
          <w:shd w:val="clear" w:color="auto" w:fill="FFFFFF"/>
        </w:rPr>
        <w:t>any</w:t>
      </w:r>
      <w:r w:rsidRPr="001A743B">
        <w:rPr>
          <w:rFonts w:ascii="Arial" w:hAnsi="Arial" w:cs="Arial"/>
          <w:color w:val="000000" w:themeColor="text1"/>
          <w:sz w:val="20"/>
          <w:szCs w:val="20"/>
          <w:shd w:val="clear" w:color="auto" w:fill="FFFFFF"/>
        </w:rPr>
        <w:t xml:space="preserve"> SPH PHI supplement on or after February 1, 2020. </w:t>
      </w:r>
    </w:p>
    <w:p w14:paraId="7DB4F62E" w14:textId="77777777" w:rsidR="001A743B" w:rsidRPr="001A743B" w:rsidRDefault="001A743B" w:rsidP="00296727">
      <w:pPr>
        <w:spacing w:line="276" w:lineRule="auto"/>
        <w:ind w:left="720"/>
        <w:rPr>
          <w:rFonts w:ascii="Arial" w:hAnsi="Arial" w:cs="Arial"/>
          <w:color w:val="000000" w:themeColor="text1"/>
          <w:sz w:val="20"/>
          <w:szCs w:val="20"/>
          <w:shd w:val="clear" w:color="auto" w:fill="FFFFFF"/>
        </w:rPr>
      </w:pPr>
    </w:p>
    <w:p w14:paraId="00BD68A5" w14:textId="77777777" w:rsidR="008472D4" w:rsidRDefault="001A743B" w:rsidP="00296727">
      <w:pPr>
        <w:spacing w:line="276" w:lineRule="auto"/>
        <w:ind w:left="720"/>
        <w:rPr>
          <w:rFonts w:ascii="Arial" w:hAnsi="Arial" w:cs="Arial"/>
          <w:color w:val="000000" w:themeColor="text1"/>
          <w:sz w:val="20"/>
          <w:szCs w:val="20"/>
          <w:shd w:val="clear" w:color="auto" w:fill="FFFFFF"/>
        </w:rPr>
      </w:pPr>
      <w:r w:rsidRPr="001A743B">
        <w:rPr>
          <w:rFonts w:ascii="Arial" w:hAnsi="Arial" w:cs="Arial"/>
          <w:color w:val="000000" w:themeColor="text1"/>
          <w:sz w:val="20"/>
          <w:szCs w:val="20"/>
          <w:u w:val="single"/>
          <w:shd w:val="clear" w:color="auto" w:fill="FFFFFF"/>
        </w:rPr>
        <w:t>Review of policy</w:t>
      </w:r>
    </w:p>
    <w:p w14:paraId="22554384" w14:textId="4E03BED9" w:rsidR="001A743B" w:rsidRPr="001A743B" w:rsidRDefault="001A743B" w:rsidP="00296727">
      <w:pPr>
        <w:spacing w:line="276" w:lineRule="auto"/>
        <w:ind w:left="720"/>
        <w:rPr>
          <w:rFonts w:ascii="Arial" w:hAnsi="Arial" w:cs="Arial"/>
          <w:color w:val="000000" w:themeColor="text1"/>
          <w:sz w:val="20"/>
          <w:szCs w:val="20"/>
          <w:shd w:val="clear" w:color="auto" w:fill="FFFFFF"/>
        </w:rPr>
      </w:pPr>
      <w:r w:rsidRPr="001A743B">
        <w:rPr>
          <w:rFonts w:ascii="Arial" w:hAnsi="Arial" w:cs="Arial"/>
          <w:color w:val="000000" w:themeColor="text1"/>
          <w:sz w:val="20"/>
          <w:szCs w:val="20"/>
          <w:shd w:val="clear" w:color="auto" w:fill="FFFFFF"/>
        </w:rPr>
        <w:t xml:space="preserve">The impacts of these changes will be assessed in Q4 2023, and the policy will be adjusted as needed to address the priorities listed above. </w:t>
      </w:r>
    </w:p>
    <w:p w14:paraId="426C808D" w14:textId="3C0BDBB8" w:rsidR="001D479D" w:rsidRPr="001A743B" w:rsidRDefault="001D479D" w:rsidP="00544A89">
      <w:pPr>
        <w:spacing w:line="276" w:lineRule="auto"/>
        <w:rPr>
          <w:rFonts w:ascii="Arial" w:hAnsi="Arial" w:cs="Arial"/>
          <w:sz w:val="20"/>
          <w:szCs w:val="20"/>
        </w:rPr>
      </w:pPr>
    </w:p>
    <w:p w14:paraId="438A4EAF" w14:textId="77777777" w:rsidR="00071B6F" w:rsidRPr="001A743B" w:rsidRDefault="00071B6F">
      <w:pPr>
        <w:spacing w:line="276" w:lineRule="auto"/>
        <w:rPr>
          <w:rFonts w:ascii="Arial" w:hAnsi="Arial" w:cs="Arial"/>
          <w:sz w:val="20"/>
          <w:szCs w:val="20"/>
        </w:rPr>
      </w:pPr>
    </w:p>
    <w:sectPr w:rsidR="00071B6F" w:rsidRPr="001A743B" w:rsidSect="001A743B">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E2668" w14:textId="77777777" w:rsidR="00E73480" w:rsidRDefault="00E73480" w:rsidP="00F10E80">
      <w:r>
        <w:separator/>
      </w:r>
    </w:p>
  </w:endnote>
  <w:endnote w:type="continuationSeparator" w:id="0">
    <w:p w14:paraId="41F4903F" w14:textId="77777777" w:rsidR="00E73480" w:rsidRDefault="00E73480" w:rsidP="00F10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D22BA" w14:textId="77777777" w:rsidR="00E73480" w:rsidRDefault="00E73480" w:rsidP="00F10E80">
      <w:r>
        <w:separator/>
      </w:r>
    </w:p>
  </w:footnote>
  <w:footnote w:type="continuationSeparator" w:id="0">
    <w:p w14:paraId="2B67DB68" w14:textId="77777777" w:rsidR="00E73480" w:rsidRDefault="00E73480" w:rsidP="00F10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5D80" w14:textId="11B232AB" w:rsidR="001A743B" w:rsidRDefault="001A743B">
    <w:pPr>
      <w:pStyle w:val="Header"/>
    </w:pPr>
    <w:r>
      <w:rPr>
        <w:noProof/>
      </w:rPr>
      <w:drawing>
        <wp:inline distT="0" distB="0" distL="0" distR="0" wp14:anchorId="7C4E9652" wp14:editId="6DE9BD93">
          <wp:extent cx="2871498" cy="413238"/>
          <wp:effectExtent l="0" t="0" r="0" b="635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044171" cy="4380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5EC5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5E732D"/>
    <w:multiLevelType w:val="hybridMultilevel"/>
    <w:tmpl w:val="A530C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892088"/>
    <w:multiLevelType w:val="hybridMultilevel"/>
    <w:tmpl w:val="5BD0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325C7"/>
    <w:multiLevelType w:val="hybridMultilevel"/>
    <w:tmpl w:val="20FCB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0031DF"/>
    <w:multiLevelType w:val="hybridMultilevel"/>
    <w:tmpl w:val="078A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499E3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09B5B1C"/>
    <w:multiLevelType w:val="hybridMultilevel"/>
    <w:tmpl w:val="14F6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8488660">
    <w:abstractNumId w:val="0"/>
  </w:num>
  <w:num w:numId="2" w16cid:durableId="27612408">
    <w:abstractNumId w:val="6"/>
  </w:num>
  <w:num w:numId="3" w16cid:durableId="1010177296">
    <w:abstractNumId w:val="5"/>
  </w:num>
  <w:num w:numId="4" w16cid:durableId="303044902">
    <w:abstractNumId w:val="1"/>
  </w:num>
  <w:num w:numId="5" w16cid:durableId="1839464728">
    <w:abstractNumId w:val="2"/>
  </w:num>
  <w:num w:numId="6" w16cid:durableId="488903361">
    <w:abstractNumId w:val="4"/>
  </w:num>
  <w:num w:numId="7" w16cid:durableId="10827513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642"/>
    <w:rsid w:val="00004EB0"/>
    <w:rsid w:val="00006ACE"/>
    <w:rsid w:val="0001405D"/>
    <w:rsid w:val="00026AA3"/>
    <w:rsid w:val="000275BD"/>
    <w:rsid w:val="00061574"/>
    <w:rsid w:val="00065942"/>
    <w:rsid w:val="00071B6F"/>
    <w:rsid w:val="00083D3D"/>
    <w:rsid w:val="000A3F07"/>
    <w:rsid w:val="000D6BE3"/>
    <w:rsid w:val="000E4C82"/>
    <w:rsid w:val="000F131D"/>
    <w:rsid w:val="00111099"/>
    <w:rsid w:val="00114EA2"/>
    <w:rsid w:val="00116BDD"/>
    <w:rsid w:val="001513B4"/>
    <w:rsid w:val="001546FC"/>
    <w:rsid w:val="00170C9C"/>
    <w:rsid w:val="00196044"/>
    <w:rsid w:val="00196714"/>
    <w:rsid w:val="001A4BE1"/>
    <w:rsid w:val="001A743B"/>
    <w:rsid w:val="001D1A89"/>
    <w:rsid w:val="001D479D"/>
    <w:rsid w:val="001E04F3"/>
    <w:rsid w:val="00220EAF"/>
    <w:rsid w:val="00224A43"/>
    <w:rsid w:val="002501AD"/>
    <w:rsid w:val="002712AA"/>
    <w:rsid w:val="002715ED"/>
    <w:rsid w:val="00285DAE"/>
    <w:rsid w:val="00286002"/>
    <w:rsid w:val="00296727"/>
    <w:rsid w:val="002C0516"/>
    <w:rsid w:val="002C4EDA"/>
    <w:rsid w:val="002D16A5"/>
    <w:rsid w:val="002D6906"/>
    <w:rsid w:val="0032769A"/>
    <w:rsid w:val="00350BFC"/>
    <w:rsid w:val="00354763"/>
    <w:rsid w:val="0036426D"/>
    <w:rsid w:val="003667F8"/>
    <w:rsid w:val="003716EA"/>
    <w:rsid w:val="00371D2E"/>
    <w:rsid w:val="003816DF"/>
    <w:rsid w:val="003B23E9"/>
    <w:rsid w:val="003C6166"/>
    <w:rsid w:val="003D4C2E"/>
    <w:rsid w:val="003D566B"/>
    <w:rsid w:val="003F6724"/>
    <w:rsid w:val="00400EE3"/>
    <w:rsid w:val="00401C96"/>
    <w:rsid w:val="00402C60"/>
    <w:rsid w:val="004031A0"/>
    <w:rsid w:val="00405835"/>
    <w:rsid w:val="0040733B"/>
    <w:rsid w:val="0043374A"/>
    <w:rsid w:val="00450EA4"/>
    <w:rsid w:val="004567F7"/>
    <w:rsid w:val="00457E6B"/>
    <w:rsid w:val="00497023"/>
    <w:rsid w:val="004A40B7"/>
    <w:rsid w:val="004A5D6A"/>
    <w:rsid w:val="004B5825"/>
    <w:rsid w:val="004B6692"/>
    <w:rsid w:val="004D6450"/>
    <w:rsid w:val="004E4EEF"/>
    <w:rsid w:val="00504BB7"/>
    <w:rsid w:val="00511D31"/>
    <w:rsid w:val="00544A89"/>
    <w:rsid w:val="005602FB"/>
    <w:rsid w:val="00570C2B"/>
    <w:rsid w:val="005856CF"/>
    <w:rsid w:val="005A10CA"/>
    <w:rsid w:val="005B2237"/>
    <w:rsid w:val="005C2BB5"/>
    <w:rsid w:val="005D038A"/>
    <w:rsid w:val="005D0E39"/>
    <w:rsid w:val="005E6D4A"/>
    <w:rsid w:val="005F49EF"/>
    <w:rsid w:val="005F677D"/>
    <w:rsid w:val="00600F48"/>
    <w:rsid w:val="00614F73"/>
    <w:rsid w:val="0061778D"/>
    <w:rsid w:val="00635ABD"/>
    <w:rsid w:val="00635C90"/>
    <w:rsid w:val="006710CA"/>
    <w:rsid w:val="00684420"/>
    <w:rsid w:val="00697AB2"/>
    <w:rsid w:val="006A741D"/>
    <w:rsid w:val="006A747A"/>
    <w:rsid w:val="006D1BCE"/>
    <w:rsid w:val="006F332C"/>
    <w:rsid w:val="00723AA0"/>
    <w:rsid w:val="00732199"/>
    <w:rsid w:val="00761F6B"/>
    <w:rsid w:val="0076403D"/>
    <w:rsid w:val="00791409"/>
    <w:rsid w:val="00793AD2"/>
    <w:rsid w:val="007B790E"/>
    <w:rsid w:val="007C06E6"/>
    <w:rsid w:val="007D1BAD"/>
    <w:rsid w:val="007D581C"/>
    <w:rsid w:val="007F093C"/>
    <w:rsid w:val="007F611E"/>
    <w:rsid w:val="008078ED"/>
    <w:rsid w:val="00811D05"/>
    <w:rsid w:val="00830B4B"/>
    <w:rsid w:val="008472D4"/>
    <w:rsid w:val="00873512"/>
    <w:rsid w:val="008768F3"/>
    <w:rsid w:val="00883206"/>
    <w:rsid w:val="008A167D"/>
    <w:rsid w:val="008A1CB9"/>
    <w:rsid w:val="008A3E26"/>
    <w:rsid w:val="008A7928"/>
    <w:rsid w:val="008B0EBA"/>
    <w:rsid w:val="008B7CF7"/>
    <w:rsid w:val="008D256E"/>
    <w:rsid w:val="008E0D16"/>
    <w:rsid w:val="008E7A8F"/>
    <w:rsid w:val="009017C4"/>
    <w:rsid w:val="00911E0B"/>
    <w:rsid w:val="00916DE1"/>
    <w:rsid w:val="009457A6"/>
    <w:rsid w:val="009C5891"/>
    <w:rsid w:val="009D2940"/>
    <w:rsid w:val="009D359A"/>
    <w:rsid w:val="009E5D41"/>
    <w:rsid w:val="009E6217"/>
    <w:rsid w:val="009F77B1"/>
    <w:rsid w:val="00A23634"/>
    <w:rsid w:val="00A3444C"/>
    <w:rsid w:val="00A355B1"/>
    <w:rsid w:val="00A372BE"/>
    <w:rsid w:val="00A37FE9"/>
    <w:rsid w:val="00A40BFB"/>
    <w:rsid w:val="00A42D01"/>
    <w:rsid w:val="00A620D6"/>
    <w:rsid w:val="00A63331"/>
    <w:rsid w:val="00A8183A"/>
    <w:rsid w:val="00A8461E"/>
    <w:rsid w:val="00A939C1"/>
    <w:rsid w:val="00AA4CB1"/>
    <w:rsid w:val="00AB1313"/>
    <w:rsid w:val="00AD3219"/>
    <w:rsid w:val="00B21507"/>
    <w:rsid w:val="00B27B0C"/>
    <w:rsid w:val="00B3454D"/>
    <w:rsid w:val="00B563A2"/>
    <w:rsid w:val="00BA6721"/>
    <w:rsid w:val="00BB7D03"/>
    <w:rsid w:val="00BD4642"/>
    <w:rsid w:val="00BF4B28"/>
    <w:rsid w:val="00C87658"/>
    <w:rsid w:val="00C977F6"/>
    <w:rsid w:val="00CB4227"/>
    <w:rsid w:val="00CC3CA3"/>
    <w:rsid w:val="00CD08BC"/>
    <w:rsid w:val="00CD0CCA"/>
    <w:rsid w:val="00CF4AC1"/>
    <w:rsid w:val="00D01888"/>
    <w:rsid w:val="00D15A54"/>
    <w:rsid w:val="00D36DAE"/>
    <w:rsid w:val="00D51120"/>
    <w:rsid w:val="00D55EDE"/>
    <w:rsid w:val="00D56D34"/>
    <w:rsid w:val="00DA1984"/>
    <w:rsid w:val="00DA3F6B"/>
    <w:rsid w:val="00DC39DC"/>
    <w:rsid w:val="00E11F9F"/>
    <w:rsid w:val="00E226E6"/>
    <w:rsid w:val="00E25309"/>
    <w:rsid w:val="00E31938"/>
    <w:rsid w:val="00E329A4"/>
    <w:rsid w:val="00E35E73"/>
    <w:rsid w:val="00E54C16"/>
    <w:rsid w:val="00E73480"/>
    <w:rsid w:val="00E90741"/>
    <w:rsid w:val="00EA5191"/>
    <w:rsid w:val="00EA54EB"/>
    <w:rsid w:val="00EC09D3"/>
    <w:rsid w:val="00EC6B61"/>
    <w:rsid w:val="00EE532F"/>
    <w:rsid w:val="00F10E80"/>
    <w:rsid w:val="00F15B4B"/>
    <w:rsid w:val="00F17330"/>
    <w:rsid w:val="00F2347A"/>
    <w:rsid w:val="00F33A48"/>
    <w:rsid w:val="00F418BD"/>
    <w:rsid w:val="00F634F2"/>
    <w:rsid w:val="00F853CE"/>
    <w:rsid w:val="00FD317B"/>
    <w:rsid w:val="00FF0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E6441"/>
  <w15:chartTrackingRefBased/>
  <w15:docId w15:val="{E59895F8-BA5B-DB48-9883-58DD545C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4642"/>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BD4642"/>
    <w:rPr>
      <w:color w:val="0563C1" w:themeColor="hyperlink"/>
      <w:u w:val="single"/>
    </w:rPr>
  </w:style>
  <w:style w:type="character" w:customStyle="1" w:styleId="UnresolvedMention1">
    <w:name w:val="Unresolved Mention1"/>
    <w:basedOn w:val="DefaultParagraphFont"/>
    <w:uiPriority w:val="99"/>
    <w:semiHidden/>
    <w:unhideWhenUsed/>
    <w:rsid w:val="00BD4642"/>
    <w:rPr>
      <w:color w:val="605E5C"/>
      <w:shd w:val="clear" w:color="auto" w:fill="E1DFDD"/>
    </w:rPr>
  </w:style>
  <w:style w:type="paragraph" w:styleId="Header">
    <w:name w:val="header"/>
    <w:basedOn w:val="Normal"/>
    <w:link w:val="HeaderChar"/>
    <w:uiPriority w:val="99"/>
    <w:unhideWhenUsed/>
    <w:rsid w:val="00F10E80"/>
    <w:pPr>
      <w:tabs>
        <w:tab w:val="center" w:pos="4680"/>
        <w:tab w:val="right" w:pos="9360"/>
      </w:tabs>
    </w:pPr>
  </w:style>
  <w:style w:type="character" w:customStyle="1" w:styleId="HeaderChar">
    <w:name w:val="Header Char"/>
    <w:basedOn w:val="DefaultParagraphFont"/>
    <w:link w:val="Header"/>
    <w:uiPriority w:val="99"/>
    <w:rsid w:val="00F10E80"/>
  </w:style>
  <w:style w:type="paragraph" w:styleId="Footer">
    <w:name w:val="footer"/>
    <w:basedOn w:val="Normal"/>
    <w:link w:val="FooterChar"/>
    <w:uiPriority w:val="99"/>
    <w:unhideWhenUsed/>
    <w:rsid w:val="00F10E80"/>
    <w:pPr>
      <w:tabs>
        <w:tab w:val="center" w:pos="4680"/>
        <w:tab w:val="right" w:pos="9360"/>
      </w:tabs>
    </w:pPr>
  </w:style>
  <w:style w:type="character" w:customStyle="1" w:styleId="FooterChar">
    <w:name w:val="Footer Char"/>
    <w:basedOn w:val="DefaultParagraphFont"/>
    <w:link w:val="Footer"/>
    <w:uiPriority w:val="99"/>
    <w:rsid w:val="00F10E80"/>
  </w:style>
  <w:style w:type="paragraph" w:styleId="ListParagraph">
    <w:name w:val="List Paragraph"/>
    <w:basedOn w:val="Normal"/>
    <w:uiPriority w:val="34"/>
    <w:qFormat/>
    <w:rsid w:val="001A743B"/>
    <w:pPr>
      <w:ind w:left="720"/>
      <w:contextualSpacing/>
    </w:pPr>
  </w:style>
  <w:style w:type="table" w:styleId="TableGrid">
    <w:name w:val="Table Grid"/>
    <w:basedOn w:val="TableNormal"/>
    <w:uiPriority w:val="39"/>
    <w:rsid w:val="001A7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15B4B"/>
    <w:rPr>
      <w:color w:val="954F72" w:themeColor="followedHyperlink"/>
      <w:u w:val="single"/>
    </w:rPr>
  </w:style>
  <w:style w:type="paragraph" w:styleId="BalloonText">
    <w:name w:val="Balloon Text"/>
    <w:basedOn w:val="Normal"/>
    <w:link w:val="BalloonTextChar"/>
    <w:uiPriority w:val="99"/>
    <w:semiHidden/>
    <w:unhideWhenUsed/>
    <w:rsid w:val="00D018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888"/>
    <w:rPr>
      <w:rFonts w:ascii="Segoe UI" w:hAnsi="Segoe UI" w:cs="Segoe UI"/>
      <w:sz w:val="18"/>
      <w:szCs w:val="18"/>
    </w:rPr>
  </w:style>
  <w:style w:type="paragraph" w:styleId="Revision">
    <w:name w:val="Revision"/>
    <w:hidden/>
    <w:uiPriority w:val="99"/>
    <w:semiHidden/>
    <w:rsid w:val="00296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edu/populationhealth/resources/funding-and-awards/pilot-research-grants/" TargetMode="External"/><Relationship Id="rId3" Type="http://schemas.openxmlformats.org/officeDocument/2006/relationships/settings" Target="settings.xml"/><Relationship Id="rId7" Type="http://schemas.openxmlformats.org/officeDocument/2006/relationships/hyperlink" Target="https://www.washington.edu/populationhealth/2021/11/17/initiative-announces-relaunch-of-its-interdisciplinary-pilot-grant-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Maloney</dc:creator>
  <cp:keywords/>
  <dc:description/>
  <cp:lastModifiedBy>Caitlin Maloney</cp:lastModifiedBy>
  <cp:revision>9</cp:revision>
  <cp:lastPrinted>2023-01-20T19:58:00Z</cp:lastPrinted>
  <dcterms:created xsi:type="dcterms:W3CDTF">2023-01-28T00:39:00Z</dcterms:created>
  <dcterms:modified xsi:type="dcterms:W3CDTF">2023-02-03T18:39:00Z</dcterms:modified>
</cp:coreProperties>
</file>